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اطلاعيه شماره  46</w:t>
      </w:r>
    </w:p>
    <w:p w:rsidR="00495CC5" w:rsidRPr="00495CC5" w:rsidRDefault="00495CC5" w:rsidP="00495CC5">
      <w:pPr>
        <w:spacing w:before="62" w:after="62" w:line="240" w:lineRule="auto"/>
        <w:ind w:firstLine="720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تاریخ 22/6/84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اختلالات شدید بینایی متعاقب مصرف داروهای سیلدنافیل، تادالافیل، واردنافیل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سازمان غذا و داروی آمریکا (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FDA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) در جولای سال 2005 میلادی، طی اطلاعیه ای نسبت به عوارض چشمی (از جمله کاهش ناگهانی بینایی) ناشی از مصرف </w:t>
      </w:r>
      <w:proofErr w:type="spellStart"/>
      <w:r w:rsidRPr="00495CC5">
        <w:rPr>
          <w:rFonts w:ascii="inherit" w:eastAsia="Times New Roman" w:hAnsi="inherit" w:cs="Tahoma"/>
          <w:b/>
          <w:bCs/>
          <w:sz w:val="16"/>
          <w:szCs w:val="16"/>
        </w:rPr>
        <w:t>Vardenafil</w:t>
      </w:r>
      <w:proofErr w:type="spellEnd"/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, </w:t>
      </w:r>
      <w:proofErr w:type="spellStart"/>
      <w:r w:rsidRPr="00495CC5">
        <w:rPr>
          <w:rFonts w:ascii="inherit" w:eastAsia="Times New Roman" w:hAnsi="inherit" w:cs="Tahoma"/>
          <w:b/>
          <w:bCs/>
          <w:sz w:val="16"/>
          <w:szCs w:val="16"/>
        </w:rPr>
        <w:t>Tadalafil</w:t>
      </w:r>
      <w:proofErr w:type="spellEnd"/>
      <w:r w:rsidRPr="00495CC5">
        <w:rPr>
          <w:rFonts w:ascii="inherit" w:eastAsia="Times New Roman" w:hAnsi="inherit" w:cs="Tahoma"/>
          <w:b/>
          <w:bCs/>
          <w:sz w:val="16"/>
          <w:szCs w:val="16"/>
        </w:rPr>
        <w:t xml:space="preserve">, </w:t>
      </w:r>
      <w:proofErr w:type="spellStart"/>
      <w:r w:rsidRPr="00495CC5">
        <w:rPr>
          <w:rFonts w:ascii="inherit" w:eastAsia="Times New Roman" w:hAnsi="inherit" w:cs="Tahoma"/>
          <w:b/>
          <w:bCs/>
          <w:sz w:val="16"/>
          <w:szCs w:val="16"/>
        </w:rPr>
        <w:t>Sildenafil</w:t>
      </w:r>
      <w:proofErr w:type="spellEnd"/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با نامهای تجارتی به ترتیب </w:t>
      </w:r>
      <w:proofErr w:type="spellStart"/>
      <w:r w:rsidRPr="00495CC5">
        <w:rPr>
          <w:rFonts w:ascii="inherit" w:eastAsia="Times New Roman" w:hAnsi="inherit" w:cs="Tahoma"/>
          <w:b/>
          <w:bCs/>
          <w:sz w:val="16"/>
          <w:szCs w:val="16"/>
        </w:rPr>
        <w:t>Levitra</w:t>
      </w:r>
      <w:proofErr w:type="spellEnd"/>
      <w:r w:rsidRPr="00495CC5">
        <w:rPr>
          <w:rFonts w:ascii="inherit" w:eastAsia="Times New Roman" w:hAnsi="inherit" w:cs="Tahoma"/>
          <w:b/>
          <w:bCs/>
          <w:sz w:val="16"/>
          <w:szCs w:val="16"/>
        </w:rPr>
        <w:t xml:space="preserve">, </w:t>
      </w:r>
      <w:proofErr w:type="spellStart"/>
      <w:r w:rsidRPr="00495CC5">
        <w:rPr>
          <w:rFonts w:ascii="inherit" w:eastAsia="Times New Roman" w:hAnsi="inherit" w:cs="Tahoma"/>
          <w:b/>
          <w:bCs/>
          <w:sz w:val="16"/>
          <w:szCs w:val="16"/>
        </w:rPr>
        <w:t>Cialis</w:t>
      </w:r>
      <w:proofErr w:type="spellEnd"/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, 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Viagra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هشدار داده است. این سازمان ایجاد تغییراتی را در  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Labeling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این داروها تصویب نموده است.</w:t>
      </w:r>
    </w:p>
    <w:p w:rsidR="00495CC5" w:rsidRPr="00495CC5" w:rsidRDefault="00495CC5" w:rsidP="00495CC5">
      <w:pPr>
        <w:spacing w:before="62" w:after="62" w:line="240" w:lineRule="auto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با توجه به مصرف داروهای مذکور در کشور ما، توجه همکاران عزیز را به موارد زیر جلب می نمائیم:</w:t>
      </w:r>
    </w:p>
    <w:p w:rsidR="00495CC5" w:rsidRPr="00495CC5" w:rsidRDefault="00495CC5" w:rsidP="00495CC5">
      <w:pPr>
        <w:spacing w:before="62" w:after="62" w:line="240" w:lineRule="auto"/>
        <w:ind w:hanging="360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1-     گزارشاتی مبنی بر بروز (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 xml:space="preserve">NAJON) </w:t>
      </w:r>
      <w:proofErr w:type="spellStart"/>
      <w:r w:rsidRPr="00495CC5">
        <w:rPr>
          <w:rFonts w:ascii="inherit" w:eastAsia="Times New Roman" w:hAnsi="inherit" w:cs="Tahoma"/>
          <w:b/>
          <w:bCs/>
          <w:sz w:val="16"/>
          <w:szCs w:val="16"/>
        </w:rPr>
        <w:t>Nonarteritic</w:t>
      </w:r>
      <w:proofErr w:type="spellEnd"/>
      <w:r w:rsidRPr="00495CC5">
        <w:rPr>
          <w:rFonts w:ascii="inherit" w:eastAsia="Times New Roman" w:hAnsi="inherit" w:cs="Tahoma"/>
          <w:b/>
          <w:bCs/>
          <w:sz w:val="16"/>
          <w:szCs w:val="16"/>
        </w:rPr>
        <w:t xml:space="preserve"> Anterior Ischemic Optic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Neuropathy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پس   از مصرف سیلدنافیل، تادالافیل و واردنافیل توسط 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FDA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دریافت شده است. این نوع عارضه بینایی  زمانی رخ می دهد که جریان خونی که به عصب بینایی خونرسانی می کند، مسدود گردد. این انسداد    باعث کاهش بدون درد و ناگهانی بینایی در یک یا هر دو چشم می گردد. در صورت ایجاد این عارضه       در یک چشم، احتمال بروز مجدد آن در چشم دیگر افزایش می یابد. </w:t>
      </w:r>
    </w:p>
    <w:p w:rsidR="00495CC5" w:rsidRPr="00495CC5" w:rsidRDefault="00495CC5" w:rsidP="00495CC5">
      <w:pPr>
        <w:spacing w:before="62" w:after="62" w:line="240" w:lineRule="auto"/>
        <w:ind w:hanging="360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2-     با وجود اینکه در برخی از موارد عارضه بینایی مذکور با گذشت زمان بهبود می یابد، امکان دارد که  در برخی موارد برگشت ناپذیر باشد.  </w:t>
      </w:r>
    </w:p>
    <w:p w:rsidR="00495CC5" w:rsidRPr="00495CC5" w:rsidRDefault="00495CC5" w:rsidP="00495CC5">
      <w:pPr>
        <w:spacing w:before="62" w:after="62" w:line="240" w:lineRule="auto"/>
        <w:ind w:hanging="360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3-     افراد مبتلا به بیماریهای قلبی- عروقی، فشار خون، دیابت، کلسترول بالا، اختلالات بینایی، افراد سیگاری و افراد با سن بالاتر از 50 سال بیشتر در معرض خطر ابتلا به 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NAION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هستند.  </w:t>
      </w:r>
    </w:p>
    <w:p w:rsidR="00495CC5" w:rsidRPr="00495CC5" w:rsidRDefault="00495CC5" w:rsidP="00495CC5">
      <w:pPr>
        <w:spacing w:before="62" w:after="62" w:line="240" w:lineRule="auto"/>
        <w:ind w:hanging="360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4-     به بیماران توصیه گردد که چنانچه با مصرف این داروها دچار کاهش دید بخصوص بصورت ناگهانی در یک یا هر دو چشم شوند، باید بلافاصله دارو را قطع کرده و به پزشک یا داروساز خود اطلاع دهند.  </w:t>
      </w:r>
    </w:p>
    <w:p w:rsidR="00495CC5" w:rsidRPr="00495CC5" w:rsidRDefault="00495CC5" w:rsidP="00495CC5">
      <w:pPr>
        <w:spacing w:before="62" w:after="62" w:line="240" w:lineRule="auto"/>
        <w:ind w:hanging="360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5-     پیش از تجویز دارو حتماً از بیمار در رابطه با سابقه اختلالات بینایی از قبیل کاهش بینایی سؤال گردد زیرا بیماران با اختلالات بینایی بیشتر در معرض ابتلا به </w:t>
      </w:r>
      <w:r w:rsidRPr="00495CC5">
        <w:rPr>
          <w:rFonts w:ascii="inherit" w:eastAsia="Times New Roman" w:hAnsi="inherit" w:cs="Tahoma"/>
          <w:b/>
          <w:bCs/>
          <w:sz w:val="16"/>
          <w:szCs w:val="16"/>
        </w:rPr>
        <w:t>NAION</w:t>
      </w: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 xml:space="preserve"> هستند. </w:t>
      </w:r>
    </w:p>
    <w:p w:rsidR="00495CC5" w:rsidRPr="00495CC5" w:rsidRDefault="00495CC5" w:rsidP="00495CC5">
      <w:pPr>
        <w:spacing w:before="62" w:after="62" w:line="240" w:lineRule="auto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both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495CC5" w:rsidRPr="00495C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95CC5" w:rsidRPr="00495CC5" w:rsidRDefault="00495CC5" w:rsidP="00495CC5">
            <w:pPr>
              <w:spacing w:after="0" w:line="240" w:lineRule="auto"/>
              <w:jc w:val="lowKashida"/>
              <w:textAlignment w:val="baseline"/>
              <w:divId w:val="1660310412"/>
              <w:rPr>
                <w:rFonts w:ascii="inherit" w:eastAsia="Times New Roman" w:hAnsi="inherit" w:cs="Tahoma"/>
                <w:sz w:val="16"/>
                <w:szCs w:val="16"/>
              </w:rPr>
            </w:pPr>
            <w:r w:rsidRPr="00495CC5">
              <w:rPr>
                <w:rFonts w:ascii="inherit" w:eastAsia="Times New Roman" w:hAnsi="inherit" w:cs="Tahoma"/>
                <w:b/>
                <w:bCs/>
                <w:sz w:val="16"/>
                <w:szCs w:val="16"/>
                <w:rtl/>
              </w:rPr>
              <w:t>از همکاران محترم تقاضا مي گردد در صورت مشاهده هر گونه عارضه متعاقب مصرف داروهای  سیلدنافیل، تادالافیل، واردنافیل مراتب را از طريق ارسال فرم هاي زرد، و یا به صورت تلفني (66404223) به مرکز ثبت و بررسي عوارض ناخواسته داروها گزارش نمايند.</w:t>
            </w:r>
          </w:p>
        </w:tc>
      </w:tr>
    </w:tbl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tabs>
          <w:tab w:val="left" w:pos="3055"/>
        </w:tabs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</w:t>
      </w:r>
    </w:p>
    <w:p w:rsidR="00495CC5" w:rsidRPr="00495CC5" w:rsidRDefault="00495CC5" w:rsidP="00495CC5">
      <w:pPr>
        <w:spacing w:before="62" w:after="62" w:line="240" w:lineRule="auto"/>
        <w:rPr>
          <w:rFonts w:ascii="Tahoma" w:eastAsia="Times New Roman" w:hAnsi="Tahoma" w:cs="Tahoma"/>
          <w:sz w:val="16"/>
          <w:szCs w:val="16"/>
          <w:rtl/>
        </w:rPr>
      </w:pPr>
      <w:r w:rsidRPr="00495CC5">
        <w:rPr>
          <w:rFonts w:ascii="Tahoma" w:eastAsia="Times New Roman" w:hAnsi="Tahoma" w:cs="Tahoma"/>
          <w:sz w:val="16"/>
          <w:szCs w:val="16"/>
        </w:rPr>
        <w:br w:type="textWrapping" w:clear="all"/>
      </w:r>
    </w:p>
    <w:p w:rsidR="00495CC5" w:rsidRPr="00495CC5" w:rsidRDefault="00495CC5" w:rsidP="00495CC5">
      <w:pPr>
        <w:tabs>
          <w:tab w:val="left" w:pos="3055"/>
        </w:tabs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مركز ثبت و بررسي عوارض ناخواسته داروها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دبیر خانه تحقیقات کاربردی - معاونت غذا و دارو</w:t>
      </w:r>
    </w:p>
    <w:p w:rsidR="00495CC5" w:rsidRPr="00495CC5" w:rsidRDefault="00495CC5" w:rsidP="00495CC5">
      <w:pPr>
        <w:spacing w:before="62" w:after="62" w:line="240" w:lineRule="auto"/>
        <w:jc w:val="center"/>
        <w:textAlignment w:val="baseline"/>
        <w:rPr>
          <w:rFonts w:ascii="inherit" w:eastAsia="Times New Roman" w:hAnsi="inherit" w:cs="Tahoma"/>
          <w:sz w:val="16"/>
          <w:szCs w:val="16"/>
          <w:rtl/>
        </w:rPr>
      </w:pPr>
      <w:r w:rsidRPr="00495CC5">
        <w:rPr>
          <w:rFonts w:ascii="inherit" w:eastAsia="Times New Roman" w:hAnsi="inherit" w:cs="Tahoma"/>
          <w:b/>
          <w:bCs/>
          <w:sz w:val="16"/>
          <w:szCs w:val="16"/>
          <w:rtl/>
        </w:rPr>
        <w:t> وزارت بهداشت، درمان و آموزش پزشكي </w: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495CC5" w:rsidRPr="00495C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95CC5" w:rsidRPr="00495CC5" w:rsidRDefault="00495CC5" w:rsidP="00495CC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95CC5">
              <w:rPr>
                <w:rFonts w:ascii="Tahoma" w:eastAsia="Times New Roman" w:hAnsi="Tahoma" w:cs="Tahoma"/>
                <w:sz w:val="16"/>
                <w:szCs w:val="16"/>
              </w:rPr>
              <w:pict/>
            </w:r>
          </w:p>
        </w:tc>
      </w:tr>
    </w:tbl>
    <w:p w:rsidR="009C31B5" w:rsidRDefault="009C31B5"/>
    <w:sectPr w:rsidR="009C31B5" w:rsidSect="004C25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495CC5"/>
    <w:rsid w:val="00495CC5"/>
    <w:rsid w:val="004C257C"/>
    <w:rsid w:val="009C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483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964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66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3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Javid-Store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Javid-Store</dc:creator>
  <cp:keywords/>
  <dc:description/>
  <cp:lastModifiedBy>Javid-Store</cp:lastModifiedBy>
  <cp:revision>1</cp:revision>
  <dcterms:created xsi:type="dcterms:W3CDTF">2009-07-05T07:33:00Z</dcterms:created>
  <dcterms:modified xsi:type="dcterms:W3CDTF">2009-07-05T07:34:00Z</dcterms:modified>
</cp:coreProperties>
</file>